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41" w:rsidRDefault="008070A9" w:rsidP="004E3841">
      <w:pPr>
        <w:pStyle w:val="Title"/>
      </w:pPr>
      <w:r>
        <w:t>Före</w:t>
      </w:r>
      <w:r w:rsidR="004E3841">
        <w:t xml:space="preserve"> Änglarna: 1904–1973</w:t>
      </w:r>
    </w:p>
    <w:p w:rsidR="00880D13" w:rsidRDefault="00880D13" w:rsidP="007F44BC">
      <w:pPr>
        <w:pStyle w:val="Quote"/>
      </w:pPr>
      <w:r>
        <w:t>”</w:t>
      </w:r>
      <w:r w:rsidR="00166731">
        <w:t>Alla dessa som tillhört och tillhöra vår förening måste ha känt på sig, att mera än det rent sportsliga binder samman medlemmarna. Vad det är, torde vara svårt att definiera – det är något visst ’det’, som en idrottsförening måste ha för att kunna stå stark genom tiderna. Har vi det? Omöjligt att säga. Men jag tror, att utan känslan av kamratskap, hjälpsamhet, ömsesidigt förtroende och något som uttrycktes kort och gott med renhårighet kan ingen sammanslutning som vår bestå.</w:t>
      </w:r>
      <w:r>
        <w:t>”</w:t>
      </w:r>
    </w:p>
    <w:p w:rsidR="00166731" w:rsidRDefault="00880D13" w:rsidP="007F44BC">
      <w:r>
        <w:t>Så skrev</w:t>
      </w:r>
      <w:r w:rsidR="007F44BC">
        <w:t xml:space="preserve"> 1929 Carl ”Ceve” Linde, dåvarande sekreterare i IFK Göteborg, i samband med föreningens 25-årsjubileum</w:t>
      </w:r>
      <w:r w:rsidR="00090255">
        <w:t>.</w:t>
      </w:r>
      <w:r w:rsidR="00090255">
        <w:rPr>
          <w:rStyle w:val="FootnoteReference"/>
        </w:rPr>
        <w:footnoteReference w:id="1"/>
      </w:r>
      <w:r w:rsidR="00090255">
        <w:rPr>
          <w:rStyle w:val="FootnoteReference"/>
          <w:vertAlign w:val="baseline"/>
        </w:rPr>
        <w:t xml:space="preserve"> </w:t>
      </w:r>
      <w:r w:rsidR="007F44BC">
        <w:rPr>
          <w:rStyle w:val="FootnoteReference"/>
          <w:vertAlign w:val="baseline"/>
        </w:rPr>
        <w:t>Det skulle</w:t>
      </w:r>
      <w:r w:rsidR="00090255">
        <w:t xml:space="preserve"> dröja fyrtio år </w:t>
      </w:r>
      <w:r w:rsidR="007F44BC">
        <w:t>innan Supporterklubben Änglarna bildades</w:t>
      </w:r>
      <w:r w:rsidR="00090255">
        <w:t xml:space="preserve"> med syfte att samla alla supportrar</w:t>
      </w:r>
      <w:r w:rsidR="004E3841">
        <w:t>,</w:t>
      </w:r>
      <w:r w:rsidR="00090255">
        <w:t xml:space="preserve"> som kände just </w:t>
      </w:r>
      <w:r w:rsidR="00090255" w:rsidRPr="00090255">
        <w:rPr>
          <w:i/>
        </w:rPr>
        <w:t>det</w:t>
      </w:r>
      <w:r w:rsidR="004E3841" w:rsidRPr="004E3841">
        <w:t>,</w:t>
      </w:r>
      <w:r w:rsidR="00090255" w:rsidRPr="004E3841">
        <w:t xml:space="preserve"> </w:t>
      </w:r>
      <w:r w:rsidR="00090255">
        <w:t>under gemensam flagg</w:t>
      </w:r>
      <w:r w:rsidR="004E3841">
        <w:t>. M</w:t>
      </w:r>
      <w:r w:rsidR="00090255">
        <w:t xml:space="preserve">en det betyder </w:t>
      </w:r>
      <w:r w:rsidR="004E3841">
        <w:t>inte alls</w:t>
      </w:r>
      <w:r w:rsidR="00090255">
        <w:t xml:space="preserve"> </w:t>
      </w:r>
      <w:r w:rsidR="004E3841">
        <w:t>att det innan dess saknades supporterskap, läktartraditioner, reseminnen och allt annat som ingår i den gemensamma kultur som fotbollen skänkt oss supportrar.</w:t>
      </w:r>
    </w:p>
    <w:p w:rsidR="009B4293" w:rsidRPr="00564131" w:rsidRDefault="00564131" w:rsidP="00564131">
      <w:pPr>
        <w:pStyle w:val="Heading1"/>
        <w:rPr>
          <w:lang w:val="sv-SE"/>
        </w:rPr>
      </w:pPr>
      <w:r w:rsidRPr="00564131">
        <w:rPr>
          <w:lang w:val="sv-SE"/>
        </w:rPr>
        <w:t>De första supportrarna</w:t>
      </w:r>
    </w:p>
    <w:p w:rsidR="00267EEE" w:rsidRDefault="004B08EB" w:rsidP="007F44BC">
      <w:r>
        <w:t>Hur de allra första supportrarna tog Blåvitt till sina hjärtan är höljt i dunkel. Under de första åren är det rimligt att anta att åskådarna varken var fler eller färre än för vilken annan göteborgsk kvartersklubb som helst. Men 190</w:t>
      </w:r>
      <w:r w:rsidR="00041C7B">
        <w:t xml:space="preserve">7 kom detta att ändras markant. </w:t>
      </w:r>
      <w:r w:rsidR="00267EEE">
        <w:t xml:space="preserve">Den 13 oktober bjöds IFK Göteborg in som ersättare för IFK Uppsala till en vänskapsmatch mot Örgryte IS, det lag som under de fyra senaste åren inte förlorat en endaste match mot svenskt motstånd. De 1 500 åskådare som samlats på Idrottsplatsen var alla eniga om att det bara fanns ett möjligt utfall, IFK hade mött ÖIS sammanlagt tio gånger tidigare och hade den föga smickrande statistiken tio förluster med målskillnaden </w:t>
      </w:r>
      <w:r w:rsidR="00041C7B">
        <w:t>12–75.</w:t>
      </w:r>
    </w:p>
    <w:p w:rsidR="00041C7B" w:rsidRDefault="00041C7B" w:rsidP="007F44BC">
      <w:r>
        <w:t>När Blåvitt under matchen hämtade upp både ett 0–1- och 1–2- underläge gick sympatierna hos den stora publiken gradvis över till det ”käcka kamratlaget” och när matchen till slut blåstes av stod Göteborgs-Kamraterna som segrare med 4–2. Två saker skedde då med publiken som i sin tur går att koppla till denna seger. Dels omskrevs publiken på en IFK-match för första gången i press när Nordiskt Idrottslif publicerade en lång och utförlig matchrapport som även noterade hur ”publikens jubel öfver deras vackra och välförtjänta seger var oerhördt, och länge dånade applåderna och bifallsropen ut öfver planen”.</w:t>
      </w:r>
      <w:r w:rsidR="00087895">
        <w:rPr>
          <w:rStyle w:val="FootnoteReference"/>
        </w:rPr>
        <w:footnoteReference w:id="2"/>
      </w:r>
      <w:r w:rsidR="00087895">
        <w:t xml:space="preserve"> Dels fick Blåvitt ett plötsligt stadigt följe åskådare som inte bara vallfärdade till derbyn mot ÖIS, 5 000 åskådare såg 1908 års match i Corinthian Bowl, utan även sågs på Idrottsplatsen när det bara var IFK som kunde vara av intresse, såsom i kvartsfinalmatchen mot Malmö BoIS samma år som lockade 2 000 åskådare.</w:t>
      </w:r>
    </w:p>
    <w:p w:rsidR="00CA39E3" w:rsidRDefault="00FC5B74" w:rsidP="00CA39E3">
      <w:r>
        <w:t xml:space="preserve">Att IFK Göteborgs publik, under en tid då mannen på läktaren förväntades bete sig som en gentleman, </w:t>
      </w:r>
      <w:r w:rsidR="00F046E2">
        <w:t>stod ut från mängden genom att vara</w:t>
      </w:r>
      <w:r>
        <w:t xml:space="preserve"> skränig och högljudd</w:t>
      </w:r>
      <w:r w:rsidR="00CA39E3">
        <w:t xml:space="preserve"> och i vissa fall även våldsamm</w:t>
      </w:r>
      <w:r>
        <w:t xml:space="preserve"> berodde mycket på att man samlade den stora arbetarklassen under sina blåvita färger</w:t>
      </w:r>
      <w:r w:rsidR="00F046E2">
        <w:t xml:space="preserve"> </w:t>
      </w:r>
      <w:r w:rsidR="00CA39E3">
        <w:t>nästan andra lag nästan undantagslöst</w:t>
      </w:r>
      <w:r w:rsidR="00F046E2">
        <w:t xml:space="preserve"> fann sitt </w:t>
      </w:r>
      <w:r w:rsidR="00CA39E3">
        <w:t xml:space="preserve">stora </w:t>
      </w:r>
      <w:r w:rsidR="00F046E2">
        <w:t xml:space="preserve">stöd hos medel- och överklassen. </w:t>
      </w:r>
      <w:r>
        <w:t>”</w:t>
      </w:r>
      <w:r w:rsidR="00F046E2">
        <w:t>N</w:t>
      </w:r>
      <w:r>
        <w:t>är</w:t>
      </w:r>
      <w:r w:rsidR="00F046E2">
        <w:t xml:space="preserve"> Kamraterna</w:t>
      </w:r>
      <w:r>
        <w:t xml:space="preserve"> </w:t>
      </w:r>
      <w:r w:rsidR="00F046E2">
        <w:t xml:space="preserve">trädde ut på planen hurrade publiken på andra plats [ståplats], men när Örgryte visade sig hurrade den på läktaren.” skrev </w:t>
      </w:r>
      <w:r w:rsidR="00813450">
        <w:t>Nordiskt Idrottslif om spelarnas återinträde inför andra halvlek i ett derby 1912</w:t>
      </w:r>
      <w:r w:rsidR="00CA39E3">
        <w:t xml:space="preserve"> vilket tydligt visade bland vilka samhällsklasser de båda föreningarna hade sitt stora stöd</w:t>
      </w:r>
      <w:r w:rsidR="00F046E2">
        <w:t>.</w:t>
      </w:r>
      <w:r w:rsidR="00F046E2">
        <w:rPr>
          <w:rStyle w:val="FootnoteReference"/>
        </w:rPr>
        <w:footnoteReference w:id="3"/>
      </w:r>
      <w:r w:rsidR="00813450">
        <w:t xml:space="preserve"> Snabbkäftad publik har det aldrig heller saknats. Efter avblåsning för h</w:t>
      </w:r>
      <w:r w:rsidR="00564131">
        <w:t>alvlek i Blåvitts först</w:t>
      </w:r>
      <w:r w:rsidR="00CA39E3">
        <w:t>a SM-final 1908</w:t>
      </w:r>
      <w:r w:rsidR="00564131">
        <w:t xml:space="preserve"> </w:t>
      </w:r>
      <w:r w:rsidR="00813450">
        <w:t>går</w:t>
      </w:r>
      <w:r w:rsidR="00A84923">
        <w:t xml:space="preserve"> </w:t>
      </w:r>
      <w:r w:rsidR="00CA39E3">
        <w:t xml:space="preserve">IFK </w:t>
      </w:r>
      <w:r w:rsidR="00A84923">
        <w:t>Uppsalas</w:t>
      </w:r>
      <w:r w:rsidR="00564131">
        <w:t xml:space="preserve"> Sune Almqvist</w:t>
      </w:r>
      <w:r w:rsidR="00F11B2B">
        <w:t xml:space="preserve"> fram</w:t>
      </w:r>
      <w:r w:rsidR="00564131">
        <w:t xml:space="preserve"> </w:t>
      </w:r>
      <w:r w:rsidR="00F11B2B">
        <w:t xml:space="preserve">och </w:t>
      </w:r>
      <w:r w:rsidR="00564131">
        <w:t xml:space="preserve">testlyfter den Rosenska pokalen som </w:t>
      </w:r>
      <w:r w:rsidR="00564131">
        <w:lastRenderedPageBreak/>
        <w:t xml:space="preserve">står </w:t>
      </w:r>
      <w:r w:rsidR="00F11B2B">
        <w:t xml:space="preserve">helt </w:t>
      </w:r>
      <w:r w:rsidR="00320E2A">
        <w:t>nära staketet</w:t>
      </w:r>
      <w:r w:rsidR="00A84923">
        <w:t xml:space="preserve"> på Walhalla IP</w:t>
      </w:r>
      <w:r w:rsidR="00320E2A">
        <w:t xml:space="preserve">, varpå en </w:t>
      </w:r>
      <w:r w:rsidR="00F11B2B">
        <w:t xml:space="preserve">åskådare på </w:t>
      </w:r>
      <w:r w:rsidR="00CA39E3">
        <w:t>andra plats</w:t>
      </w:r>
      <w:r w:rsidR="00F11B2B">
        <w:t xml:space="preserve"> skriker till honom att</w:t>
      </w:r>
      <w:r w:rsidR="00320E2A">
        <w:t xml:space="preserve"> </w:t>
      </w:r>
      <w:r w:rsidR="00F11B2B">
        <w:t>”</w:t>
      </w:r>
      <w:r w:rsidR="00564131">
        <w:t>Dö... ge fan i å fingra på den du... matchen ä inte slut än...!”</w:t>
      </w:r>
      <w:r w:rsidR="00320E2A">
        <w:rPr>
          <w:rStyle w:val="FootnoteReference"/>
        </w:rPr>
        <w:footnoteReference w:id="4"/>
      </w:r>
    </w:p>
    <w:p w:rsidR="0010308A" w:rsidRPr="008070A9" w:rsidRDefault="00FD0DD6" w:rsidP="0010308A">
      <w:pPr>
        <w:pStyle w:val="Heading1"/>
        <w:rPr>
          <w:lang w:val="sv-SE"/>
        </w:rPr>
      </w:pPr>
      <w:r w:rsidRPr="008070A9">
        <w:rPr>
          <w:lang w:val="sv-SE"/>
        </w:rPr>
        <w:t>De första p</w:t>
      </w:r>
      <w:r w:rsidR="0010308A" w:rsidRPr="008070A9">
        <w:rPr>
          <w:lang w:val="sv-SE"/>
        </w:rPr>
        <w:t>ublik</w:t>
      </w:r>
      <w:r w:rsidRPr="008070A9">
        <w:rPr>
          <w:lang w:val="sv-SE"/>
        </w:rPr>
        <w:t>skandalerna</w:t>
      </w:r>
    </w:p>
    <w:p w:rsidR="00FD0DD6" w:rsidRPr="00FD0DD6" w:rsidRDefault="00FD0DD6" w:rsidP="00FD0DD6">
      <w:pPr>
        <w:rPr>
          <w:lang w:bidi="en-US"/>
        </w:rPr>
      </w:pPr>
      <w:r w:rsidRPr="00FD0DD6">
        <w:rPr>
          <w:lang w:bidi="en-US"/>
        </w:rPr>
        <w:t>Blablabla</w:t>
      </w:r>
    </w:p>
    <w:p w:rsidR="00823969" w:rsidRPr="008070A9" w:rsidRDefault="00823969" w:rsidP="00FD0DD6">
      <w:pPr>
        <w:pStyle w:val="Heading1"/>
        <w:rPr>
          <w:lang w:val="sv-SE"/>
        </w:rPr>
      </w:pPr>
      <w:r w:rsidRPr="008070A9">
        <w:rPr>
          <w:lang w:val="sv-SE"/>
        </w:rPr>
        <w:t>Många och kunniga supportrar</w:t>
      </w:r>
    </w:p>
    <w:p w:rsidR="00823969" w:rsidRPr="008070A9" w:rsidRDefault="00823969" w:rsidP="00823969">
      <w:pPr>
        <w:rPr>
          <w:lang w:bidi="en-US"/>
        </w:rPr>
      </w:pPr>
      <w:r w:rsidRPr="008070A9">
        <w:rPr>
          <w:lang w:bidi="en-US"/>
        </w:rPr>
        <w:t>Blablabla</w:t>
      </w:r>
    </w:p>
    <w:p w:rsidR="00FD0DD6" w:rsidRPr="008070A9" w:rsidRDefault="00823969" w:rsidP="00FD0DD6">
      <w:pPr>
        <w:pStyle w:val="Heading1"/>
        <w:rPr>
          <w:lang w:val="sv-SE"/>
        </w:rPr>
      </w:pPr>
      <w:r w:rsidRPr="008070A9">
        <w:rPr>
          <w:lang w:val="sv-SE"/>
        </w:rPr>
        <w:t>S</w:t>
      </w:r>
      <w:r w:rsidR="00FD0DD6" w:rsidRPr="008070A9">
        <w:rPr>
          <w:lang w:val="sv-SE"/>
        </w:rPr>
        <w:t>tökiga “Göteborgståg”</w:t>
      </w:r>
    </w:p>
    <w:p w:rsidR="00FD0DD6" w:rsidRDefault="00FD0DD6" w:rsidP="00FD0DD6">
      <w:pPr>
        <w:rPr>
          <w:lang w:bidi="en-US"/>
        </w:rPr>
      </w:pPr>
      <w:r>
        <w:rPr>
          <w:lang w:bidi="en-US"/>
        </w:rPr>
        <w:t>Blablabla</w:t>
      </w:r>
    </w:p>
    <w:p w:rsidR="00FD0DD6" w:rsidRPr="008070A9" w:rsidRDefault="00FD0DD6" w:rsidP="00FD0DD6">
      <w:pPr>
        <w:pStyle w:val="Heading1"/>
        <w:rPr>
          <w:lang w:val="sv-SE"/>
        </w:rPr>
      </w:pPr>
      <w:r w:rsidRPr="008070A9">
        <w:rPr>
          <w:lang w:val="sv-SE"/>
        </w:rPr>
        <w:t>Lugn efterkrigstid</w:t>
      </w:r>
    </w:p>
    <w:p w:rsidR="00FD0DD6" w:rsidRDefault="00FD0DD6" w:rsidP="00FD0DD6">
      <w:pPr>
        <w:rPr>
          <w:lang w:bidi="en-US"/>
        </w:rPr>
      </w:pPr>
      <w:r>
        <w:rPr>
          <w:lang w:bidi="en-US"/>
        </w:rPr>
        <w:t>Blablabla</w:t>
      </w:r>
    </w:p>
    <w:p w:rsidR="00FD0DD6" w:rsidRPr="008070A9" w:rsidRDefault="00F35456" w:rsidP="00F35456">
      <w:pPr>
        <w:pStyle w:val="Heading1"/>
        <w:rPr>
          <w:lang w:val="sv-SE"/>
        </w:rPr>
      </w:pPr>
      <w:r w:rsidRPr="008070A9">
        <w:rPr>
          <w:lang w:val="sv-SE"/>
        </w:rPr>
        <w:t>Modern läktarsång och huliganism</w:t>
      </w:r>
    </w:p>
    <w:p w:rsidR="00F35456" w:rsidRDefault="00F35456" w:rsidP="00FD0DD6">
      <w:pPr>
        <w:rPr>
          <w:lang w:bidi="en-US"/>
        </w:rPr>
      </w:pPr>
      <w:r>
        <w:rPr>
          <w:lang w:bidi="en-US"/>
        </w:rPr>
        <w:t>Blablabla</w:t>
      </w:r>
    </w:p>
    <w:p w:rsidR="00FD0DD6" w:rsidRPr="00FD0DD6" w:rsidRDefault="00FD0DD6" w:rsidP="00FD0DD6">
      <w:pPr>
        <w:rPr>
          <w:lang w:bidi="en-US"/>
        </w:rPr>
      </w:pPr>
    </w:p>
    <w:p w:rsidR="0010308A" w:rsidRDefault="0010308A" w:rsidP="00CA39E3"/>
    <w:p w:rsidR="00320E2A" w:rsidRDefault="00CA39E3" w:rsidP="00CA39E3">
      <w:r>
        <w:br w:type="page"/>
      </w:r>
    </w:p>
    <w:sdt>
      <w:sdtPr>
        <w:rPr>
          <w:rFonts w:asciiTheme="minorHAnsi" w:eastAsiaTheme="minorHAnsi" w:hAnsiTheme="minorHAnsi" w:cstheme="minorBidi"/>
          <w:b w:val="0"/>
          <w:bCs w:val="0"/>
          <w:color w:val="auto"/>
          <w:sz w:val="20"/>
          <w:szCs w:val="22"/>
          <w:lang w:val="sv-SE" w:bidi="ar-SA"/>
        </w:rPr>
        <w:id w:val="141073579"/>
        <w:docPartObj>
          <w:docPartGallery w:val="Bibliographies"/>
          <w:docPartUnique/>
        </w:docPartObj>
      </w:sdtPr>
      <w:sdtContent>
        <w:p w:rsidR="00CA39E3" w:rsidRPr="00CA39E3" w:rsidRDefault="00FD0DD6">
          <w:pPr>
            <w:pStyle w:val="Heading1"/>
            <w:rPr>
              <w:lang w:val="sv-SE"/>
            </w:rPr>
          </w:pPr>
          <w:r>
            <w:rPr>
              <w:lang w:val="sv-SE"/>
            </w:rPr>
            <w:t>Källförteckning</w:t>
          </w:r>
        </w:p>
        <w:p w:rsidR="00CA39E3" w:rsidRDefault="00302FDF" w:rsidP="00CA39E3">
          <w:pPr>
            <w:pStyle w:val="Bibliography"/>
            <w:ind w:left="720" w:hanging="720"/>
            <w:rPr>
              <w:noProof/>
            </w:rPr>
          </w:pPr>
          <w:r>
            <w:fldChar w:fldCharType="begin"/>
          </w:r>
          <w:r w:rsidR="00CA39E3">
            <w:instrText xml:space="preserve"> BIBLIOGRAPHY </w:instrText>
          </w:r>
          <w:r>
            <w:fldChar w:fldCharType="separate"/>
          </w:r>
          <w:r w:rsidR="00CA39E3">
            <w:rPr>
              <w:noProof/>
            </w:rPr>
            <w:t xml:space="preserve">Curling. (den 16 oktober 1907). Mästerskapslaget besegradt af Göteborgs-Kamraterna med 4–2 (0–1, 4–1). </w:t>
          </w:r>
          <w:r w:rsidR="00CA39E3">
            <w:rPr>
              <w:i/>
              <w:iCs/>
              <w:noProof/>
            </w:rPr>
            <w:t>Nordiskt Idrottslif</w:t>
          </w:r>
          <w:r w:rsidR="00CA39E3">
            <w:rPr>
              <w:noProof/>
            </w:rPr>
            <w:t>(42), s. 433.</w:t>
          </w:r>
        </w:p>
        <w:p w:rsidR="00CA39E3" w:rsidRDefault="00CA39E3" w:rsidP="00CA39E3">
          <w:pPr>
            <w:pStyle w:val="Bibliography"/>
            <w:ind w:left="720" w:hanging="720"/>
            <w:rPr>
              <w:noProof/>
            </w:rPr>
          </w:pPr>
          <w:r>
            <w:rPr>
              <w:i/>
              <w:iCs/>
              <w:noProof/>
            </w:rPr>
            <w:t>Historik över Idrottsföreningen Kamraternas Göteborg verksamhet och utveckling 1904–1929.</w:t>
          </w:r>
          <w:r>
            <w:rPr>
              <w:noProof/>
            </w:rPr>
            <w:t xml:space="preserve"> (1929). Göteborg: IFK Göteborg.</w:t>
          </w:r>
        </w:p>
        <w:p w:rsidR="00CA39E3" w:rsidRDefault="00CA39E3" w:rsidP="00CA39E3">
          <w:pPr>
            <w:pStyle w:val="Bibliography"/>
            <w:ind w:left="720" w:hanging="720"/>
            <w:rPr>
              <w:noProof/>
            </w:rPr>
          </w:pPr>
          <w:r>
            <w:rPr>
              <w:noProof/>
            </w:rPr>
            <w:t xml:space="preserve">Johansson, O. (Red.). (1987). </w:t>
          </w:r>
          <w:r>
            <w:rPr>
              <w:i/>
              <w:iCs/>
              <w:noProof/>
            </w:rPr>
            <w:t>Idrottsarvet 1987: årsbok för Idrottsmuseet i Göteborg.</w:t>
          </w:r>
          <w:r>
            <w:rPr>
              <w:noProof/>
            </w:rPr>
            <w:t xml:space="preserve"> Göteborg: Idrottsmuseet i Göteborg.</w:t>
          </w:r>
        </w:p>
        <w:p w:rsidR="00CA39E3" w:rsidRDefault="00CA39E3" w:rsidP="00CA39E3">
          <w:pPr>
            <w:pStyle w:val="Bibliography"/>
            <w:ind w:left="720" w:hanging="720"/>
            <w:rPr>
              <w:noProof/>
            </w:rPr>
          </w:pPr>
          <w:r>
            <w:rPr>
              <w:noProof/>
            </w:rPr>
            <w:t xml:space="preserve">Linde, C. (den 1 oktober 1912). Göteborgs-Kamraterna och Örgryte spela oafgjort med 1–1. </w:t>
          </w:r>
          <w:r>
            <w:rPr>
              <w:i/>
              <w:iCs/>
              <w:noProof/>
            </w:rPr>
            <w:t>Nordiskt Idrottslif</w:t>
          </w:r>
          <w:r>
            <w:rPr>
              <w:noProof/>
            </w:rPr>
            <w:t>(57A), ss. 419-420.</w:t>
          </w:r>
        </w:p>
        <w:p w:rsidR="00CA39E3" w:rsidRDefault="00302FDF" w:rsidP="00CA39E3">
          <w:r>
            <w:fldChar w:fldCharType="end"/>
          </w:r>
        </w:p>
      </w:sdtContent>
    </w:sdt>
    <w:p w:rsidR="00CA39E3" w:rsidRPr="007F44BC" w:rsidRDefault="00CA39E3" w:rsidP="00CA39E3"/>
    <w:sectPr w:rsidR="00CA39E3" w:rsidRPr="007F44BC" w:rsidSect="00A207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F4" w:rsidRDefault="00F660F4" w:rsidP="00A55C79">
      <w:pPr>
        <w:spacing w:after="0" w:line="240" w:lineRule="auto"/>
      </w:pPr>
      <w:r>
        <w:separator/>
      </w:r>
    </w:p>
  </w:endnote>
  <w:endnote w:type="continuationSeparator" w:id="0">
    <w:p w:rsidR="00F660F4" w:rsidRDefault="00F660F4" w:rsidP="00A5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F4" w:rsidRDefault="00F660F4" w:rsidP="00A55C79">
      <w:pPr>
        <w:spacing w:after="0" w:line="240" w:lineRule="auto"/>
      </w:pPr>
      <w:r>
        <w:separator/>
      </w:r>
    </w:p>
  </w:footnote>
  <w:footnote w:type="continuationSeparator" w:id="0">
    <w:p w:rsidR="00F660F4" w:rsidRDefault="00F660F4" w:rsidP="00A55C79">
      <w:pPr>
        <w:spacing w:after="0" w:line="240" w:lineRule="auto"/>
      </w:pPr>
      <w:r>
        <w:continuationSeparator/>
      </w:r>
    </w:p>
  </w:footnote>
  <w:footnote w:id="1">
    <w:p w:rsidR="00090255" w:rsidRDefault="00090255">
      <w:pPr>
        <w:pStyle w:val="FootnoteText"/>
      </w:pPr>
      <w:r>
        <w:rPr>
          <w:rStyle w:val="FootnoteReference"/>
        </w:rPr>
        <w:footnoteRef/>
      </w:r>
      <w:r>
        <w:t xml:space="preserve"> </w:t>
      </w:r>
      <w:sdt>
        <w:sdtPr>
          <w:id w:val="141073575"/>
          <w:citation/>
        </w:sdtPr>
        <w:sdtContent>
          <w:fldSimple w:instr=" CITATION Joh87 \p 53 \l 1053  ">
            <w:r w:rsidR="00CA39E3">
              <w:rPr>
                <w:noProof/>
              </w:rPr>
              <w:t>(Johansson, 1987, s. 53)</w:t>
            </w:r>
          </w:fldSimple>
        </w:sdtContent>
      </w:sdt>
    </w:p>
  </w:footnote>
  <w:footnote w:id="2">
    <w:p w:rsidR="00087895" w:rsidRDefault="00087895">
      <w:pPr>
        <w:pStyle w:val="FootnoteText"/>
      </w:pPr>
      <w:r>
        <w:rPr>
          <w:rStyle w:val="FootnoteReference"/>
        </w:rPr>
        <w:footnoteRef/>
      </w:r>
      <w:r>
        <w:t xml:space="preserve"> </w:t>
      </w:r>
      <w:sdt>
        <w:sdtPr>
          <w:id w:val="141073577"/>
          <w:citation/>
        </w:sdtPr>
        <w:sdtContent>
          <w:fldSimple w:instr=" CITATION Cur07 \l 1053  ">
            <w:r w:rsidR="00CA39E3">
              <w:rPr>
                <w:noProof/>
              </w:rPr>
              <w:t>(Curling, 1907)</w:t>
            </w:r>
          </w:fldSimple>
        </w:sdtContent>
      </w:sdt>
    </w:p>
  </w:footnote>
  <w:footnote w:id="3">
    <w:p w:rsidR="00F046E2" w:rsidRDefault="00F046E2">
      <w:pPr>
        <w:pStyle w:val="FootnoteText"/>
      </w:pPr>
      <w:r>
        <w:rPr>
          <w:rStyle w:val="FootnoteReference"/>
        </w:rPr>
        <w:footnoteRef/>
      </w:r>
      <w:r>
        <w:t xml:space="preserve"> </w:t>
      </w:r>
      <w:sdt>
        <w:sdtPr>
          <w:id w:val="141073578"/>
          <w:citation/>
        </w:sdtPr>
        <w:sdtContent>
          <w:fldSimple w:instr=" CITATION Lin12 \l 1053 ">
            <w:r w:rsidR="00CA39E3">
              <w:rPr>
                <w:noProof/>
              </w:rPr>
              <w:t>(Linde, 1912)</w:t>
            </w:r>
          </w:fldSimple>
        </w:sdtContent>
      </w:sdt>
    </w:p>
  </w:footnote>
  <w:footnote w:id="4">
    <w:p w:rsidR="00320E2A" w:rsidRDefault="00320E2A">
      <w:pPr>
        <w:pStyle w:val="FootnoteText"/>
      </w:pPr>
      <w:r>
        <w:rPr>
          <w:rStyle w:val="FootnoteReference"/>
        </w:rPr>
        <w:footnoteRef/>
      </w:r>
      <w:r>
        <w:t xml:space="preserve"> </w:t>
      </w:r>
      <w:sdt>
        <w:sdtPr>
          <w:id w:val="141073576"/>
          <w:citation/>
        </w:sdtPr>
        <w:sdtContent>
          <w:fldSimple w:instr=" CITATION His29 \l 1053  ">
            <w:r w:rsidR="00CA39E3">
              <w:rPr>
                <w:noProof/>
              </w:rPr>
              <w:t>(Historik över Idrottsföreningen Kamraternas Göteborg verksamhet och utveckling 1904–1929, 1929)</w:t>
            </w:r>
          </w:fldSimple>
        </w:sdtContent>
      </w:sdt>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B49E1"/>
    <w:rsid w:val="00033E4F"/>
    <w:rsid w:val="00041C7B"/>
    <w:rsid w:val="00087895"/>
    <w:rsid w:val="00090255"/>
    <w:rsid w:val="000A489B"/>
    <w:rsid w:val="0010308A"/>
    <w:rsid w:val="00166731"/>
    <w:rsid w:val="00266DD5"/>
    <w:rsid w:val="00267EEE"/>
    <w:rsid w:val="002E7C2D"/>
    <w:rsid w:val="00302FDF"/>
    <w:rsid w:val="00320E2A"/>
    <w:rsid w:val="003B49E1"/>
    <w:rsid w:val="004B08EB"/>
    <w:rsid w:val="004E3841"/>
    <w:rsid w:val="00564131"/>
    <w:rsid w:val="005D34F9"/>
    <w:rsid w:val="00742E54"/>
    <w:rsid w:val="007F44BC"/>
    <w:rsid w:val="008070A9"/>
    <w:rsid w:val="00813450"/>
    <w:rsid w:val="00823969"/>
    <w:rsid w:val="00880D13"/>
    <w:rsid w:val="00905918"/>
    <w:rsid w:val="009B4293"/>
    <w:rsid w:val="00A207E0"/>
    <w:rsid w:val="00A55C79"/>
    <w:rsid w:val="00A84923"/>
    <w:rsid w:val="00B04109"/>
    <w:rsid w:val="00C608A5"/>
    <w:rsid w:val="00CA39E3"/>
    <w:rsid w:val="00DB79B0"/>
    <w:rsid w:val="00F046E2"/>
    <w:rsid w:val="00F11B2B"/>
    <w:rsid w:val="00F35456"/>
    <w:rsid w:val="00F660F4"/>
    <w:rsid w:val="00FC5B74"/>
    <w:rsid w:val="00FD0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13"/>
    <w:pPr>
      <w:jc w:val="both"/>
    </w:pPr>
    <w:rPr>
      <w:sz w:val="20"/>
    </w:rPr>
  </w:style>
  <w:style w:type="paragraph" w:styleId="Heading1">
    <w:name w:val="heading 1"/>
    <w:basedOn w:val="Normal"/>
    <w:next w:val="Normal"/>
    <w:link w:val="Heading1Char"/>
    <w:uiPriority w:val="9"/>
    <w:qFormat/>
    <w:rsid w:val="003B49E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E1"/>
    <w:rPr>
      <w:rFonts w:ascii="Tahoma" w:hAnsi="Tahoma" w:cs="Tahoma"/>
      <w:sz w:val="16"/>
      <w:szCs w:val="16"/>
    </w:rPr>
  </w:style>
  <w:style w:type="character" w:customStyle="1" w:styleId="Heading1Char">
    <w:name w:val="Heading 1 Char"/>
    <w:basedOn w:val="DefaultParagraphFont"/>
    <w:link w:val="Heading1"/>
    <w:uiPriority w:val="9"/>
    <w:rsid w:val="003B49E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3B49E1"/>
  </w:style>
  <w:style w:type="paragraph" w:styleId="FootnoteText">
    <w:name w:val="footnote text"/>
    <w:basedOn w:val="Normal"/>
    <w:link w:val="FootnoteTextChar"/>
    <w:uiPriority w:val="99"/>
    <w:semiHidden/>
    <w:unhideWhenUsed/>
    <w:rsid w:val="00A55C79"/>
    <w:pPr>
      <w:spacing w:after="0" w:line="240" w:lineRule="auto"/>
    </w:pPr>
    <w:rPr>
      <w:szCs w:val="20"/>
    </w:rPr>
  </w:style>
  <w:style w:type="character" w:customStyle="1" w:styleId="FootnoteTextChar">
    <w:name w:val="Footnote Text Char"/>
    <w:basedOn w:val="DefaultParagraphFont"/>
    <w:link w:val="FootnoteText"/>
    <w:uiPriority w:val="99"/>
    <w:semiHidden/>
    <w:rsid w:val="00A55C79"/>
    <w:rPr>
      <w:sz w:val="20"/>
      <w:szCs w:val="20"/>
    </w:rPr>
  </w:style>
  <w:style w:type="character" w:styleId="FootnoteReference">
    <w:name w:val="footnote reference"/>
    <w:basedOn w:val="DefaultParagraphFont"/>
    <w:uiPriority w:val="99"/>
    <w:semiHidden/>
    <w:unhideWhenUsed/>
    <w:rsid w:val="00A55C79"/>
    <w:rPr>
      <w:vertAlign w:val="superscript"/>
    </w:rPr>
  </w:style>
  <w:style w:type="paragraph" w:styleId="Quote">
    <w:name w:val="Quote"/>
    <w:basedOn w:val="Normal"/>
    <w:next w:val="Normal"/>
    <w:link w:val="QuoteChar"/>
    <w:uiPriority w:val="29"/>
    <w:qFormat/>
    <w:rsid w:val="007F44BC"/>
    <w:pPr>
      <w:ind w:left="567" w:right="567"/>
    </w:pPr>
    <w:rPr>
      <w:i/>
      <w:iCs/>
      <w:color w:val="000000" w:themeColor="text1"/>
    </w:rPr>
  </w:style>
  <w:style w:type="character" w:customStyle="1" w:styleId="QuoteChar">
    <w:name w:val="Quote Char"/>
    <w:basedOn w:val="DefaultParagraphFont"/>
    <w:link w:val="Quote"/>
    <w:uiPriority w:val="29"/>
    <w:rsid w:val="007F44BC"/>
    <w:rPr>
      <w:i/>
      <w:iCs/>
      <w:color w:val="000000" w:themeColor="text1"/>
      <w:sz w:val="20"/>
    </w:rPr>
  </w:style>
  <w:style w:type="paragraph" w:styleId="Title">
    <w:name w:val="Title"/>
    <w:basedOn w:val="Normal"/>
    <w:next w:val="Normal"/>
    <w:link w:val="TitleChar"/>
    <w:uiPriority w:val="10"/>
    <w:qFormat/>
    <w:rsid w:val="004E38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84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67EEE"/>
    <w:rPr>
      <w:sz w:val="16"/>
      <w:szCs w:val="16"/>
    </w:rPr>
  </w:style>
  <w:style w:type="paragraph" w:styleId="CommentText">
    <w:name w:val="annotation text"/>
    <w:basedOn w:val="Normal"/>
    <w:link w:val="CommentTextChar"/>
    <w:uiPriority w:val="99"/>
    <w:semiHidden/>
    <w:unhideWhenUsed/>
    <w:rsid w:val="00267EEE"/>
    <w:pPr>
      <w:spacing w:line="240" w:lineRule="auto"/>
    </w:pPr>
    <w:rPr>
      <w:szCs w:val="20"/>
    </w:rPr>
  </w:style>
  <w:style w:type="character" w:customStyle="1" w:styleId="CommentTextChar">
    <w:name w:val="Comment Text Char"/>
    <w:basedOn w:val="DefaultParagraphFont"/>
    <w:link w:val="CommentText"/>
    <w:uiPriority w:val="99"/>
    <w:semiHidden/>
    <w:rsid w:val="00267EEE"/>
    <w:rPr>
      <w:sz w:val="20"/>
      <w:szCs w:val="20"/>
    </w:rPr>
  </w:style>
  <w:style w:type="paragraph" w:styleId="CommentSubject">
    <w:name w:val="annotation subject"/>
    <w:basedOn w:val="CommentText"/>
    <w:next w:val="CommentText"/>
    <w:link w:val="CommentSubjectChar"/>
    <w:uiPriority w:val="99"/>
    <w:semiHidden/>
    <w:unhideWhenUsed/>
    <w:rsid w:val="00267EEE"/>
    <w:rPr>
      <w:b/>
      <w:bCs/>
    </w:rPr>
  </w:style>
  <w:style w:type="character" w:customStyle="1" w:styleId="CommentSubjectChar">
    <w:name w:val="Comment Subject Char"/>
    <w:basedOn w:val="CommentTextChar"/>
    <w:link w:val="CommentSubject"/>
    <w:uiPriority w:val="99"/>
    <w:semiHidden/>
    <w:rsid w:val="00267E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Joh87</b:Tag>
    <b:SourceType>Book</b:SourceType>
    <b:Guid>{843E62F7-4DCC-4778-B7E6-4FE5C691C3F4}</b:Guid>
    <b:LCID>0</b:LCID>
    <b:Author>
      <b:Editor>
        <b:NameList>
          <b:Person>
            <b:Last>Johansson</b:Last>
            <b:First>Olof</b:First>
          </b:Person>
        </b:NameList>
      </b:Editor>
    </b:Author>
    <b:Title>Idrottsarvet 1987: årsbok för Idrottsmuseet i Göteborg</b:Title>
    <b:Year>1987</b:Year>
    <b:City>Göteborg</b:City>
    <b:Publisher>Idrottsmuseet i Göteborg</b:Publisher>
    <b:RefOrder>1</b:RefOrder>
  </b:Source>
  <b:Source>
    <b:Tag>His29</b:Tag>
    <b:SourceType>Book</b:SourceType>
    <b:Guid>{8E27EFCB-049E-4E4F-B68D-EEE40157D3EC}</b:Guid>
    <b:LCID>0</b:LCID>
    <b:Title>Historik över Idrottsföreningen Kamraternas Göteborg verksamhet och utveckling 1904–1929</b:Title>
    <b:Year>1929</b:Year>
    <b:City>Göteborg</b:City>
    <b:Publisher>IFK Göteborg</b:Publisher>
    <b:RefOrder>2</b:RefOrder>
  </b:Source>
  <b:Source>
    <b:Tag>Cur07</b:Tag>
    <b:SourceType>ArticleInAPeriodical</b:SourceType>
    <b:Guid>{3543A310-91B1-4E73-A6B8-992DAE68CA39}</b:Guid>
    <b:LCID>0</b:LCID>
    <b:Author>
      <b:Author>
        <b:NameList>
          <b:Person>
            <b:Last>Curling</b:Last>
          </b:Person>
        </b:NameList>
      </b:Author>
    </b:Author>
    <b:Title>Mästerskapslaget besegradt af Göteborgs-Kamraterna med 4–2 (0–1, 4–1)</b:Title>
    <b:Year>1907</b:Year>
    <b:PeriodicalTitle>Nordiskt Idrottslif</b:PeriodicalTitle>
    <b:Month>oktober</b:Month>
    <b:Day>16</b:Day>
    <b:Pages>433</b:Pages>
    <b:Issue>42</b:Issue>
    <b:RefOrder>3</b:RefOrder>
  </b:Source>
  <b:Source>
    <b:Tag>Lin12</b:Tag>
    <b:SourceType>ArticleInAPeriodical</b:SourceType>
    <b:Guid>{55B44A7B-D478-4980-9CA0-EE556AB16184}</b:Guid>
    <b:LCID>0</b:LCID>
    <b:Author>
      <b:Author>
        <b:NameList>
          <b:Person>
            <b:Last>Linde</b:Last>
            <b:First>Ceve</b:First>
          </b:Person>
        </b:NameList>
      </b:Author>
    </b:Author>
    <b:Title>Göteborgs-Kamraterna och Örgryte spela oafgjort med 1–1</b:Title>
    <b:Year>1912</b:Year>
    <b:PeriodicalTitle>Nordiskt Idrottslif</b:PeriodicalTitle>
    <b:Month>oktober</b:Month>
    <b:Day>1</b:Day>
    <b:Pages>419-420</b:Pages>
    <b:Issue>57A</b:Issue>
    <b:RefOrder>4</b:RefOrder>
  </b:Source>
</b:Sources>
</file>

<file path=customXml/itemProps1.xml><?xml version="1.0" encoding="utf-8"?>
<ds:datastoreItem xmlns:ds="http://schemas.openxmlformats.org/officeDocument/2006/customXml" ds:itemID="{ADC67289-75E6-4208-B176-BAB3756F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Elisson</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14</cp:revision>
  <dcterms:created xsi:type="dcterms:W3CDTF">2012-01-03T12:22:00Z</dcterms:created>
  <dcterms:modified xsi:type="dcterms:W3CDTF">2012-01-04T17:57:00Z</dcterms:modified>
</cp:coreProperties>
</file>